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496" w:rsidRPr="001F3496" w:rsidRDefault="001F3496" w:rsidP="001F3496">
      <w:pPr>
        <w:spacing w:line="480" w:lineRule="auto"/>
        <w:rPr>
          <w:rFonts w:cs="Times New Roman"/>
          <w:color w:val="000000" w:themeColor="text1"/>
          <w:szCs w:val="24"/>
        </w:rPr>
      </w:pPr>
      <w:bookmarkStart w:id="0" w:name="_GoBack"/>
      <w:bookmarkEnd w:id="0"/>
    </w:p>
    <w:p w:rsidR="001F3496" w:rsidRDefault="001F3496" w:rsidP="001F3496">
      <w:pPr>
        <w:spacing w:line="480" w:lineRule="auto"/>
        <w:ind w:left="720"/>
        <w:jc w:val="center"/>
        <w:rPr>
          <w:rFonts w:cs="Times New Roman"/>
          <w:color w:val="000000" w:themeColor="text1"/>
          <w:szCs w:val="24"/>
        </w:rPr>
      </w:pPr>
    </w:p>
    <w:p w:rsidR="001F3496" w:rsidRPr="001F3496" w:rsidRDefault="001F3496" w:rsidP="001F3496">
      <w:pPr>
        <w:spacing w:line="480" w:lineRule="auto"/>
        <w:ind w:left="720"/>
        <w:jc w:val="center"/>
        <w:rPr>
          <w:rFonts w:cs="Times New Roman"/>
          <w:color w:val="000000" w:themeColor="text1"/>
          <w:szCs w:val="24"/>
        </w:rPr>
      </w:pPr>
      <w:r w:rsidRPr="001F3496">
        <w:rPr>
          <w:rFonts w:cs="Times New Roman"/>
          <w:color w:val="000000" w:themeColor="text1"/>
          <w:szCs w:val="24"/>
        </w:rPr>
        <w:t>Media and Culture Conditions</w:t>
      </w:r>
    </w:p>
    <w:p w:rsidR="001F3496" w:rsidRPr="001F3496" w:rsidRDefault="001F3496" w:rsidP="001F3496">
      <w:pPr>
        <w:spacing w:line="480" w:lineRule="auto"/>
        <w:ind w:left="720"/>
        <w:jc w:val="center"/>
        <w:rPr>
          <w:rFonts w:cs="Times New Roman"/>
          <w:color w:val="000000" w:themeColor="text1"/>
          <w:szCs w:val="24"/>
        </w:rPr>
      </w:pPr>
      <w:r w:rsidRPr="001F3496">
        <w:rPr>
          <w:rFonts w:cs="Times New Roman"/>
          <w:color w:val="000000" w:themeColor="text1"/>
          <w:szCs w:val="24"/>
        </w:rPr>
        <w:t>Name</w:t>
      </w:r>
    </w:p>
    <w:p w:rsidR="001F3496" w:rsidRPr="001F3496" w:rsidRDefault="001F3496" w:rsidP="001F3496">
      <w:pPr>
        <w:spacing w:line="480" w:lineRule="auto"/>
        <w:ind w:left="720"/>
        <w:jc w:val="center"/>
        <w:rPr>
          <w:rFonts w:cs="Times New Roman"/>
          <w:color w:val="000000" w:themeColor="text1"/>
          <w:szCs w:val="24"/>
        </w:rPr>
      </w:pPr>
      <w:r w:rsidRPr="001F3496">
        <w:rPr>
          <w:rFonts w:cs="Times New Roman"/>
          <w:color w:val="000000" w:themeColor="text1"/>
          <w:szCs w:val="24"/>
        </w:rPr>
        <w:t>Institution of Affiliation</w:t>
      </w: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Default="001F3496" w:rsidP="001F3496">
      <w:pPr>
        <w:spacing w:line="480" w:lineRule="auto"/>
        <w:ind w:left="720"/>
        <w:rPr>
          <w:rFonts w:cs="Times New Roman"/>
          <w:color w:val="000000" w:themeColor="text1"/>
          <w:szCs w:val="24"/>
        </w:rPr>
      </w:pPr>
    </w:p>
    <w:p w:rsidR="001F3496" w:rsidRDefault="001F3496" w:rsidP="001F3496">
      <w:pPr>
        <w:spacing w:line="480" w:lineRule="auto"/>
        <w:ind w:left="720"/>
        <w:rPr>
          <w:rFonts w:cs="Times New Roman"/>
          <w:color w:val="000000" w:themeColor="text1"/>
          <w:szCs w:val="24"/>
        </w:rPr>
      </w:pPr>
    </w:p>
    <w:p w:rsid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rPr>
          <w:rFonts w:cs="Times New Roman"/>
          <w:color w:val="000000" w:themeColor="text1"/>
          <w:szCs w:val="24"/>
        </w:rPr>
      </w:pPr>
    </w:p>
    <w:p w:rsidR="001F3496" w:rsidRPr="001F3496" w:rsidRDefault="001F3496" w:rsidP="001F3496">
      <w:pPr>
        <w:spacing w:line="480" w:lineRule="auto"/>
        <w:ind w:left="720"/>
        <w:jc w:val="center"/>
        <w:rPr>
          <w:rFonts w:cs="Times New Roman"/>
          <w:b/>
          <w:color w:val="000000" w:themeColor="text1"/>
          <w:szCs w:val="24"/>
        </w:rPr>
      </w:pPr>
      <w:r w:rsidRPr="001F3496">
        <w:rPr>
          <w:rFonts w:cs="Times New Roman"/>
          <w:b/>
          <w:color w:val="000000" w:themeColor="text1"/>
          <w:szCs w:val="24"/>
        </w:rPr>
        <w:lastRenderedPageBreak/>
        <w:t>Interpretations and Conclusions: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How can we optimize media and culture conditions to favor the growth of the unique and diverse microorganisms present in your soil sample? </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t>This will require us to select the optimum temperature and oxygen conditions suitable for a growth of a diverse variety of microbes. The optimum temp is 37 degree (Jenkins, Ford &amp; Green, 2013)</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What medium and culture conditions do you choose to use and why?  </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t>I will use choose to use the oxygen level of ambient air and optimum temperature of 37-degree centigrade.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How do your conditions of choice compare with your isolates' natural habitat? </w:t>
      </w:r>
    </w:p>
    <w:p w:rsidR="001F3496" w:rsidRPr="001F3496" w:rsidRDefault="001F3496" w:rsidP="001D105B">
      <w:pPr>
        <w:spacing w:line="480" w:lineRule="auto"/>
        <w:ind w:left="720" w:firstLine="720"/>
        <w:rPr>
          <w:rFonts w:cs="Times New Roman"/>
          <w:color w:val="000000" w:themeColor="text1"/>
          <w:szCs w:val="24"/>
        </w:rPr>
      </w:pPr>
      <w:r w:rsidRPr="001F3496">
        <w:rPr>
          <w:rFonts w:cs="Times New Roman"/>
          <w:color w:val="000000" w:themeColor="text1"/>
          <w:szCs w:val="24"/>
        </w:rPr>
        <w:t>The ambient air oxygen levee is equal to that of the isolates' natural habitat while the temperature is higher than that of the isolates' natural habitat. 37-degree centigrade is the optimum temperature for enzyme activity (Theunissen et al., 2014).</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Isolate unique colonies to test for antibiotic production.  </w:t>
      </w:r>
    </w:p>
    <w:p w:rsidR="001F3496" w:rsidRPr="001F3496" w:rsidRDefault="001F3496" w:rsidP="001F3496">
      <w:pPr>
        <w:spacing w:line="480" w:lineRule="auto"/>
        <w:ind w:left="720"/>
        <w:jc w:val="center"/>
        <w:rPr>
          <w:rFonts w:cs="Times New Roman"/>
          <w:b/>
          <w:color w:val="000000" w:themeColor="text1"/>
          <w:szCs w:val="24"/>
        </w:rPr>
      </w:pPr>
      <w:r w:rsidRPr="001F3496">
        <w:rPr>
          <w:rFonts w:cs="Times New Roman"/>
          <w:b/>
          <w:color w:val="000000" w:themeColor="text1"/>
          <w:szCs w:val="24"/>
        </w:rPr>
        <w:t>Biological Questions: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What criteria will you use to pick uni</w:t>
      </w:r>
      <w:r>
        <w:rPr>
          <w:rFonts w:cs="Times New Roman"/>
          <w:color w:val="000000" w:themeColor="text1"/>
          <w:szCs w:val="24"/>
        </w:rPr>
        <w:t xml:space="preserve">que colonies from your plates? </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t>The colonies are required to be of the same general appearance. When there is more than one type of colony forming, each colony should be streaked again in a different separate plate to achieve a pure culture. A pure culture is assumed to have arisen from a single bacterial cell.</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lastRenderedPageBreak/>
        <w:t>Each unique culture is picked singly using an inoculating loop and transferred to a new culture media for cultivation.</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Assuming you cannot test ALL of your bacterial isolates for antibiotic production, how will you prioritize the isolates you choose to study in order to increase the likelihood of obtaining an antibiotic producer? </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t>I will choose the bacterial isolates with the most rapid growth. This will be determined by the size of their culture after cultivation I the culture media under optimized growth environment of temperature and oxygen</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What are the qualities of the isolates you have picked for further studying?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Biochemical properties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Gram staining</w:t>
      </w:r>
    </w:p>
    <w:p w:rsidR="001F3496" w:rsidRPr="001F3496" w:rsidRDefault="001F3496" w:rsidP="001D105B">
      <w:pPr>
        <w:spacing w:line="480" w:lineRule="auto"/>
        <w:ind w:left="720"/>
        <w:rPr>
          <w:rFonts w:cs="Times New Roman"/>
          <w:color w:val="000000" w:themeColor="text1"/>
          <w:szCs w:val="24"/>
        </w:rPr>
      </w:pPr>
      <w:r w:rsidRPr="001F3496">
        <w:rPr>
          <w:rFonts w:cs="Times New Roman"/>
          <w:color w:val="000000" w:themeColor="text1"/>
          <w:szCs w:val="24"/>
        </w:rPr>
        <w:t>Microscopic appearance/ features like the cell</w:t>
      </w:r>
      <w:r w:rsidR="001D105B">
        <w:rPr>
          <w:rFonts w:cs="Times New Roman"/>
          <w:color w:val="000000" w:themeColor="text1"/>
          <w:szCs w:val="24"/>
        </w:rPr>
        <w:t xml:space="preserve"> wall, capsule, flagella, pili.</w:t>
      </w:r>
    </w:p>
    <w:p w:rsidR="001F3496" w:rsidRPr="001F3496" w:rsidRDefault="001F3496" w:rsidP="001F3496">
      <w:pPr>
        <w:spacing w:line="480" w:lineRule="auto"/>
        <w:ind w:left="720"/>
        <w:jc w:val="center"/>
        <w:rPr>
          <w:rFonts w:cs="Times New Roman"/>
          <w:b/>
          <w:color w:val="000000" w:themeColor="text1"/>
          <w:szCs w:val="24"/>
        </w:rPr>
      </w:pPr>
      <w:r w:rsidRPr="001F3496">
        <w:rPr>
          <w:rFonts w:cs="Times New Roman"/>
          <w:b/>
          <w:color w:val="000000" w:themeColor="text1"/>
          <w:szCs w:val="24"/>
        </w:rPr>
        <w:t>Understand the significance of the ESKAPE pathogens and using safe relatives in the lab.</w:t>
      </w:r>
    </w:p>
    <w:p w:rsidR="001F3496" w:rsidRPr="001F3496" w:rsidRDefault="001F3496" w:rsidP="001F3496">
      <w:pPr>
        <w:spacing w:line="480" w:lineRule="auto"/>
        <w:ind w:left="720" w:firstLine="720"/>
        <w:rPr>
          <w:rFonts w:cs="Times New Roman"/>
          <w:color w:val="000000" w:themeColor="text1"/>
          <w:szCs w:val="24"/>
        </w:rPr>
      </w:pPr>
      <w:r w:rsidRPr="001F3496">
        <w:rPr>
          <w:rFonts w:cs="Times New Roman"/>
          <w:color w:val="000000" w:themeColor="text1"/>
          <w:szCs w:val="24"/>
        </w:rPr>
        <w:t>ESKAPE pathogens which are the leading cause of nosocomial infections in the world include Enterococcus faecium, Staphylococcus aureus, Klebsiella pneumonia, Acinetobacter baumannii, Pseudomonas aeruginosa and Enterobacter species (Pendleton, Gorman &amp; Gilmore, 2013).</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ESKAPE Pathogen of Choice: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The ESKAPE Pathogen of choice is Staphylococcus aureus.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Reasons for Choosing ESKAPE Pathogen: </w:t>
      </w:r>
    </w:p>
    <w:p w:rsidR="001F3496" w:rsidRPr="001F3496" w:rsidRDefault="001F3496" w:rsidP="001D105B">
      <w:pPr>
        <w:spacing w:line="480" w:lineRule="auto"/>
        <w:ind w:left="720" w:firstLine="720"/>
        <w:rPr>
          <w:rFonts w:cs="Times New Roman"/>
          <w:color w:val="000000" w:themeColor="text1"/>
          <w:szCs w:val="24"/>
        </w:rPr>
      </w:pPr>
      <w:r w:rsidRPr="001F3496">
        <w:rPr>
          <w:rFonts w:cs="Times New Roman"/>
          <w:color w:val="000000" w:themeColor="text1"/>
          <w:szCs w:val="24"/>
        </w:rPr>
        <w:t>This is because it is the most common cause of nosocomial infections amongst the ESKAPE Pathogen both in the surgical and medical areas. Apart from these, it has the highest level of drug resistance among the ESKAPE Pathogen hence most difficult to treat. Various names have arisen as a result of drug resistance such as methicillin-resistant Staphylococcus aureus and vancomycin resistance Staphylococcus aureus (Pendleton, Gorman &amp; Gilmore, 2013).</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General Cellular and Morphological Characteristics of the Organism: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General Cellular</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It is a gram-positive coccus in clusters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Nonmotile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Encapsulated</w:t>
      </w:r>
    </w:p>
    <w:p w:rsidR="001F3496" w:rsidRPr="001F3496" w:rsidRDefault="001D105B" w:rsidP="001D105B">
      <w:pPr>
        <w:spacing w:line="480" w:lineRule="auto"/>
        <w:ind w:left="720"/>
        <w:rPr>
          <w:rFonts w:cs="Times New Roman"/>
          <w:color w:val="000000" w:themeColor="text1"/>
          <w:szCs w:val="24"/>
        </w:rPr>
      </w:pPr>
      <w:r>
        <w:rPr>
          <w:rFonts w:cs="Times New Roman"/>
          <w:color w:val="000000" w:themeColor="text1"/>
          <w:szCs w:val="24"/>
        </w:rPr>
        <w:t>Nonspore forming</w:t>
      </w:r>
    </w:p>
    <w:p w:rsidR="001F3496" w:rsidRPr="001D105B" w:rsidRDefault="001F3496" w:rsidP="001F3496">
      <w:pPr>
        <w:spacing w:line="480" w:lineRule="auto"/>
        <w:ind w:left="720"/>
        <w:rPr>
          <w:rFonts w:cs="Times New Roman"/>
          <w:b/>
          <w:color w:val="000000" w:themeColor="text1"/>
          <w:szCs w:val="24"/>
        </w:rPr>
      </w:pPr>
      <w:r w:rsidRPr="001D105B">
        <w:rPr>
          <w:rFonts w:cs="Times New Roman"/>
          <w:b/>
          <w:color w:val="000000" w:themeColor="text1"/>
          <w:szCs w:val="24"/>
        </w:rPr>
        <w:t>Biochemical features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Catalase positive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Oxidase negative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Facultative anaerobe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Clinical Importance and Prevalence: </w:t>
      </w:r>
    </w:p>
    <w:p w:rsidR="001F3496" w:rsidRPr="001F3496" w:rsidRDefault="001F3496" w:rsidP="001D105B">
      <w:pPr>
        <w:spacing w:line="480" w:lineRule="auto"/>
        <w:ind w:left="720" w:firstLine="720"/>
        <w:rPr>
          <w:rFonts w:cs="Times New Roman"/>
          <w:color w:val="000000" w:themeColor="text1"/>
          <w:szCs w:val="24"/>
        </w:rPr>
      </w:pPr>
      <w:r w:rsidRPr="001F3496">
        <w:rPr>
          <w:rFonts w:cs="Times New Roman"/>
          <w:color w:val="000000" w:themeColor="text1"/>
          <w:szCs w:val="24"/>
        </w:rPr>
        <w:t>Staphylococcus aureus is a deadly human pathogen that causes so many clinical infections in humans. It is the leading cause of infective endocarditis and bacteremia as well as skin, soft tissue, osteoarticular, device-related infections and pleuro-pulmonary infections.</w:t>
      </w:r>
    </w:p>
    <w:p w:rsidR="001F3496" w:rsidRPr="001F3496" w:rsidRDefault="001F3496" w:rsidP="001D105B">
      <w:pPr>
        <w:spacing w:line="480" w:lineRule="auto"/>
        <w:ind w:left="720" w:firstLine="720"/>
        <w:rPr>
          <w:rFonts w:cs="Times New Roman"/>
          <w:color w:val="000000" w:themeColor="text1"/>
          <w:szCs w:val="24"/>
        </w:rPr>
      </w:pPr>
      <w:r w:rsidRPr="001F3496">
        <w:rPr>
          <w:rFonts w:cs="Times New Roman"/>
          <w:color w:val="000000" w:themeColor="text1"/>
          <w:szCs w:val="24"/>
        </w:rPr>
        <w:t>It is estimated that 30% of humans have been colonized by Staphylococcus aureus. The incidence, however, varies throughout the world, being very high in some regions like Europe (Bodro et al., 2013).</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Infection (How does the infection occur and where is it localized?):  </w:t>
      </w:r>
    </w:p>
    <w:p w:rsidR="001F3496" w:rsidRPr="001F3496" w:rsidRDefault="001F3496" w:rsidP="001D105B">
      <w:pPr>
        <w:spacing w:line="480" w:lineRule="auto"/>
        <w:ind w:left="720" w:firstLine="720"/>
        <w:rPr>
          <w:rFonts w:cs="Times New Roman"/>
          <w:color w:val="000000" w:themeColor="text1"/>
          <w:szCs w:val="24"/>
        </w:rPr>
      </w:pPr>
      <w:r w:rsidRPr="001F3496">
        <w:rPr>
          <w:rFonts w:cs="Times New Roman"/>
          <w:color w:val="000000" w:themeColor="text1"/>
          <w:szCs w:val="24"/>
        </w:rPr>
        <w:t>Staphylococcus aureus occurs as a normal organism on the skin. Infection occurs via a point of weakness in the skin or the gastrointestinal tract.</w:t>
      </w:r>
      <w:r w:rsidR="001D105B">
        <w:rPr>
          <w:rFonts w:cs="Times New Roman"/>
          <w:color w:val="000000" w:themeColor="text1"/>
          <w:szCs w:val="24"/>
        </w:rPr>
        <w:t xml:space="preserve"> </w:t>
      </w:r>
      <w:r w:rsidRPr="001F3496">
        <w:rPr>
          <w:rFonts w:cs="Times New Roman"/>
          <w:color w:val="000000" w:themeColor="text1"/>
          <w:szCs w:val="24"/>
        </w:rPr>
        <w:t xml:space="preserve">The infection is transmitted via direct contact with infected persons or via inhalation of droplets that are dispersed by coughing or </w:t>
      </w:r>
      <w:r w:rsidR="001D105B">
        <w:rPr>
          <w:rFonts w:cs="Times New Roman"/>
          <w:color w:val="000000" w:themeColor="text1"/>
          <w:szCs w:val="24"/>
        </w:rPr>
        <w:t xml:space="preserve">sneezing from infected persons. </w:t>
      </w:r>
      <w:r w:rsidRPr="001F3496">
        <w:rPr>
          <w:rFonts w:cs="Times New Roman"/>
          <w:color w:val="000000" w:themeColor="text1"/>
          <w:szCs w:val="24"/>
        </w:rPr>
        <w:t>Skin infection is normally common but can also result from hematogenous spread from distant organs (Pendleton, Gorman &amp; Gilmore, 2013).</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The infection can get localized in the skin and this causes abscesses, blisters and swelling in affected areas.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Pathology (What disease is caused? What are the symptoms?):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Staphylococcus aureus causes many diseases in humans. These include: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Bacteremia--- fever, septic shock</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Infective endocarditis—persistent SAB and persistent fever.</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Skin and soft tissue infections- Impetigo, necrotizing fasciitis, SSCS, </w:t>
      </w:r>
    </w:p>
    <w:p w:rsidR="001F3496" w:rsidRPr="001F3496" w:rsidRDefault="001F3496" w:rsidP="001D105B">
      <w:pPr>
        <w:spacing w:line="480" w:lineRule="auto"/>
        <w:ind w:left="720"/>
        <w:rPr>
          <w:rFonts w:cs="Times New Roman"/>
          <w:color w:val="000000" w:themeColor="text1"/>
          <w:szCs w:val="24"/>
        </w:rPr>
      </w:pPr>
      <w:r w:rsidRPr="001F3496">
        <w:rPr>
          <w:rFonts w:cs="Times New Roman"/>
          <w:color w:val="000000" w:themeColor="text1"/>
          <w:szCs w:val="24"/>
        </w:rPr>
        <w:t>Osteoarticular infection—</w:t>
      </w:r>
      <w:r w:rsidR="001D105B">
        <w:rPr>
          <w:rFonts w:cs="Times New Roman"/>
          <w:color w:val="000000" w:themeColor="text1"/>
          <w:szCs w:val="24"/>
        </w:rPr>
        <w:t>osteomyelitis, septic arthritis</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Ineffective Antibiotics (Antibiotics the organism has gained resistance to):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Methicillin</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Penicillin G</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Penicillin V</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Effective Antibiotics (Antibiotics are known to inhibit the organism):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Vancomycin</w:t>
      </w:r>
    </w:p>
    <w:p w:rsidR="001F3496" w:rsidRPr="001F3496" w:rsidRDefault="001D105B" w:rsidP="001D105B">
      <w:pPr>
        <w:spacing w:line="480" w:lineRule="auto"/>
        <w:ind w:left="720"/>
        <w:rPr>
          <w:rFonts w:cs="Times New Roman"/>
          <w:color w:val="000000" w:themeColor="text1"/>
          <w:szCs w:val="24"/>
        </w:rPr>
      </w:pPr>
      <w:r>
        <w:rPr>
          <w:rFonts w:cs="Times New Roman"/>
          <w:color w:val="000000" w:themeColor="text1"/>
          <w:szCs w:val="24"/>
        </w:rPr>
        <w:t>Floxacillin (Floxapen)</w:t>
      </w:r>
    </w:p>
    <w:p w:rsidR="001F3496" w:rsidRPr="001F3496" w:rsidRDefault="001D105B" w:rsidP="001D105B">
      <w:pPr>
        <w:spacing w:line="480" w:lineRule="auto"/>
        <w:ind w:left="720"/>
        <w:rPr>
          <w:rFonts w:cs="Times New Roman"/>
          <w:color w:val="000000" w:themeColor="text1"/>
          <w:szCs w:val="24"/>
        </w:rPr>
      </w:pPr>
      <w:r>
        <w:rPr>
          <w:rFonts w:cs="Times New Roman"/>
          <w:color w:val="000000" w:themeColor="text1"/>
          <w:szCs w:val="24"/>
        </w:rPr>
        <w:t xml:space="preserve">Corresponding Safe Relative: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What ESKAPE pathogen do you wish to study?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Klebsiella pneumoniae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Why is your ESKAPE pathogen of choice a health concern?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This is it is the most frequent cause of gram-negative bacterial pneumonia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 xml:space="preserve">Are there any known antibiotics that are used to treat an infection caused by your ESKAPE pathogen? </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The antibiotics used to treat Klebsiella include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Ampicillin/sulbactam</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Ticarcillin/clavulanate</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Norfloxacin</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Moxifloxacin</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Meropenem</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Piperacilin/tazobactam</w:t>
      </w:r>
    </w:p>
    <w:p w:rsidR="001F3496" w:rsidRPr="001F3496"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Ertapanem</w:t>
      </w:r>
    </w:p>
    <w:p w:rsidR="00E81E62" w:rsidRDefault="001F3496" w:rsidP="001F3496">
      <w:pPr>
        <w:spacing w:line="480" w:lineRule="auto"/>
        <w:ind w:left="720"/>
        <w:rPr>
          <w:rFonts w:cs="Times New Roman"/>
          <w:color w:val="000000" w:themeColor="text1"/>
          <w:szCs w:val="24"/>
        </w:rPr>
      </w:pPr>
      <w:r w:rsidRPr="001F3496">
        <w:rPr>
          <w:rFonts w:cs="Times New Roman"/>
          <w:color w:val="000000" w:themeColor="text1"/>
          <w:szCs w:val="24"/>
        </w:rPr>
        <w:t>Ceftazidime</w:t>
      </w: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E81E62" w:rsidRDefault="00E81E62"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1D105B" w:rsidRDefault="001D105B" w:rsidP="00F753E0">
      <w:pPr>
        <w:spacing w:line="480" w:lineRule="auto"/>
        <w:ind w:left="720"/>
        <w:rPr>
          <w:rFonts w:cs="Times New Roman"/>
          <w:color w:val="000000" w:themeColor="text1"/>
          <w:szCs w:val="24"/>
        </w:rPr>
      </w:pPr>
    </w:p>
    <w:p w:rsidR="00D43569" w:rsidRPr="00E81E62" w:rsidRDefault="005C2F4A" w:rsidP="00E81E62">
      <w:pPr>
        <w:spacing w:line="480" w:lineRule="auto"/>
        <w:jc w:val="center"/>
        <w:rPr>
          <w:rFonts w:cs="Times New Roman"/>
          <w:color w:val="000000" w:themeColor="text1"/>
          <w:szCs w:val="24"/>
        </w:rPr>
      </w:pPr>
      <w:r w:rsidRPr="00E81E62">
        <w:rPr>
          <w:rFonts w:cs="Times New Roman"/>
          <w:color w:val="000000" w:themeColor="text1"/>
          <w:szCs w:val="24"/>
        </w:rPr>
        <w:t>References</w:t>
      </w:r>
    </w:p>
    <w:p w:rsidR="001D105B" w:rsidRPr="00E81E62" w:rsidRDefault="001D105B" w:rsidP="001D105B">
      <w:pPr>
        <w:spacing w:line="480" w:lineRule="auto"/>
        <w:ind w:left="720" w:hanging="720"/>
        <w:rPr>
          <w:rFonts w:cs="Times New Roman"/>
          <w:color w:val="000000" w:themeColor="text1"/>
          <w:szCs w:val="24"/>
        </w:rPr>
      </w:pPr>
      <w:r w:rsidRPr="00E81E62">
        <w:rPr>
          <w:rFonts w:cs="Times New Roman"/>
          <w:color w:val="000000" w:themeColor="text1"/>
          <w:szCs w:val="24"/>
        </w:rPr>
        <w:t>Bodro, M., Sabé, N., Tubau, F., Lladó, L., Baliellas, C., Roca, J., ... &amp; Carratalà, J. (2013). Risk factors and outcomes of bacteremia caused by drug-resistant ESKAPE pathogens in solid-organ transplant recipients. Transplantation, 96(9), 843-849.</w:t>
      </w:r>
    </w:p>
    <w:p w:rsidR="001D105B" w:rsidRPr="00E81E62" w:rsidRDefault="001D105B" w:rsidP="001D105B">
      <w:pPr>
        <w:spacing w:line="480" w:lineRule="auto"/>
        <w:ind w:left="720" w:hanging="720"/>
        <w:rPr>
          <w:rFonts w:cs="Times New Roman"/>
          <w:color w:val="000000" w:themeColor="text1"/>
          <w:szCs w:val="24"/>
        </w:rPr>
      </w:pPr>
      <w:r w:rsidRPr="00E81E62">
        <w:rPr>
          <w:rFonts w:cs="Times New Roman"/>
          <w:color w:val="222222"/>
          <w:szCs w:val="24"/>
          <w:shd w:val="clear" w:color="auto" w:fill="FFFFFF"/>
        </w:rPr>
        <w:t>Jenkins, H., Ford, S., &amp; Green, J. (2013). </w:t>
      </w:r>
      <w:r w:rsidRPr="00E81E62">
        <w:rPr>
          <w:rFonts w:cs="Times New Roman"/>
          <w:i/>
          <w:iCs/>
          <w:color w:val="222222"/>
          <w:szCs w:val="24"/>
          <w:shd w:val="clear" w:color="auto" w:fill="FFFFFF"/>
        </w:rPr>
        <w:t>Spreadable media: Creating value and meaning in a networked culture</w:t>
      </w:r>
      <w:r w:rsidRPr="00E81E62">
        <w:rPr>
          <w:rFonts w:cs="Times New Roman"/>
          <w:color w:val="222222"/>
          <w:szCs w:val="24"/>
          <w:shd w:val="clear" w:color="auto" w:fill="FFFFFF"/>
        </w:rPr>
        <w:t xml:space="preserve">. NYU press    </w:t>
      </w:r>
    </w:p>
    <w:p w:rsidR="001D105B" w:rsidRPr="00E81E62" w:rsidRDefault="001D105B" w:rsidP="001D105B">
      <w:pPr>
        <w:spacing w:line="480" w:lineRule="auto"/>
        <w:ind w:left="720" w:hanging="720"/>
        <w:rPr>
          <w:rFonts w:cs="Times New Roman"/>
          <w:color w:val="000000" w:themeColor="text1"/>
          <w:szCs w:val="24"/>
        </w:rPr>
      </w:pPr>
      <w:r w:rsidRPr="00E81E62">
        <w:rPr>
          <w:rFonts w:cs="Times New Roman"/>
          <w:color w:val="000000" w:themeColor="text1"/>
          <w:szCs w:val="24"/>
        </w:rPr>
        <w:t>Pendleton, J. N., Gorman, S. P., &amp; Gilmore, B. F. (2013). Clinical relevance of the ESKAPE pathogens. Expert review of anti-infective therapy, 11(3), 297-308.</w:t>
      </w:r>
    </w:p>
    <w:p w:rsidR="001D105B" w:rsidRPr="00E81E62" w:rsidRDefault="001D105B" w:rsidP="001D105B">
      <w:pPr>
        <w:spacing w:line="480" w:lineRule="auto"/>
        <w:ind w:left="720" w:hanging="720"/>
        <w:rPr>
          <w:rFonts w:cs="Times New Roman"/>
          <w:color w:val="222222"/>
          <w:szCs w:val="24"/>
          <w:shd w:val="clear" w:color="auto" w:fill="FFFFFF"/>
        </w:rPr>
      </w:pPr>
      <w:r w:rsidRPr="00E81E62">
        <w:rPr>
          <w:rFonts w:cs="Times New Roman"/>
          <w:color w:val="222222"/>
          <w:szCs w:val="24"/>
          <w:shd w:val="clear" w:color="auto" w:fill="FFFFFF"/>
        </w:rPr>
        <w:t>Theunissen, T. W., Powell, B. E., Wang, H., Mitalipova, M., Faddah, D. A., Reddy, J., ... &amp; Lungjangwa, T. (2014). Systematic identification of culture conditions for induction and maintenance of naive human pluripotency. </w:t>
      </w:r>
      <w:r w:rsidRPr="00E81E62">
        <w:rPr>
          <w:rFonts w:cs="Times New Roman"/>
          <w:i/>
          <w:iCs/>
          <w:color w:val="222222"/>
          <w:szCs w:val="24"/>
          <w:shd w:val="clear" w:color="auto" w:fill="FFFFFF"/>
        </w:rPr>
        <w:t>Cell stem cell</w:t>
      </w:r>
      <w:r w:rsidRPr="00E81E62">
        <w:rPr>
          <w:rFonts w:cs="Times New Roman"/>
          <w:color w:val="222222"/>
          <w:szCs w:val="24"/>
          <w:shd w:val="clear" w:color="auto" w:fill="FFFFFF"/>
        </w:rPr>
        <w:t>, </w:t>
      </w:r>
      <w:r w:rsidRPr="00E81E62">
        <w:rPr>
          <w:rFonts w:cs="Times New Roman"/>
          <w:i/>
          <w:iCs/>
          <w:color w:val="222222"/>
          <w:szCs w:val="24"/>
          <w:shd w:val="clear" w:color="auto" w:fill="FFFFFF"/>
        </w:rPr>
        <w:t>15</w:t>
      </w:r>
      <w:r w:rsidRPr="00E81E62">
        <w:rPr>
          <w:rFonts w:cs="Times New Roman"/>
          <w:color w:val="222222"/>
          <w:szCs w:val="24"/>
          <w:shd w:val="clear" w:color="auto" w:fill="FFFFFF"/>
        </w:rPr>
        <w:t>(4), 471-487.</w:t>
      </w:r>
    </w:p>
    <w:sectPr w:rsidR="001D105B" w:rsidRPr="00E81E62" w:rsidSect="00E81E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CA0" w:rsidRDefault="00601CA0" w:rsidP="00E81E62">
      <w:pPr>
        <w:spacing w:after="0" w:line="240" w:lineRule="auto"/>
      </w:pPr>
      <w:r>
        <w:separator/>
      </w:r>
    </w:p>
  </w:endnote>
  <w:endnote w:type="continuationSeparator" w:id="0">
    <w:p w:rsidR="00601CA0" w:rsidRDefault="00601CA0" w:rsidP="00E8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CA0" w:rsidRDefault="00601CA0" w:rsidP="00E81E62">
      <w:pPr>
        <w:spacing w:after="0" w:line="240" w:lineRule="auto"/>
      </w:pPr>
      <w:r>
        <w:separator/>
      </w:r>
    </w:p>
  </w:footnote>
  <w:footnote w:type="continuationSeparator" w:id="0">
    <w:p w:rsidR="00601CA0" w:rsidRDefault="00601CA0" w:rsidP="00E8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725396"/>
      <w:docPartObj>
        <w:docPartGallery w:val="Page Numbers (Top of Page)"/>
        <w:docPartUnique/>
      </w:docPartObj>
    </w:sdtPr>
    <w:sdtEndPr>
      <w:rPr>
        <w:noProof/>
      </w:rPr>
    </w:sdtEndPr>
    <w:sdtContent>
      <w:p w:rsidR="00E81E62" w:rsidRDefault="00E81E62">
        <w:pPr>
          <w:pStyle w:val="Header"/>
          <w:jc w:val="right"/>
        </w:pPr>
        <w:r>
          <w:fldChar w:fldCharType="begin"/>
        </w:r>
        <w:r>
          <w:instrText xml:space="preserve"> PAGE   \* MERGEFORMAT </w:instrText>
        </w:r>
        <w:r>
          <w:fldChar w:fldCharType="separate"/>
        </w:r>
        <w:r w:rsidR="00BF2C09">
          <w:rPr>
            <w:noProof/>
          </w:rPr>
          <w:t>2</w:t>
        </w:r>
        <w:r>
          <w:rPr>
            <w:noProof/>
          </w:rPr>
          <w:fldChar w:fldCharType="end"/>
        </w:r>
      </w:p>
    </w:sdtContent>
  </w:sdt>
  <w:p w:rsidR="00E81E62" w:rsidRDefault="00E81E62">
    <w:pPr>
      <w:pStyle w:val="Header"/>
    </w:pPr>
    <w:r w:rsidRPr="00E81E62">
      <w:t>MEDIA AND CULTURE CONDITIONS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E62" w:rsidRDefault="00543B22">
    <w:pPr>
      <w:pStyle w:val="Header"/>
    </w:pPr>
    <w:r>
      <w:t xml:space="preserve">  </w:t>
    </w:r>
    <w:r w:rsidR="00E81E62">
      <w:t xml:space="preserve">Running Head:  </w:t>
    </w:r>
    <w:r>
      <w:t xml:space="preserve">MEDIA AND CULTURE   </w:t>
    </w:r>
    <w:r w:rsidR="00E81E62" w:rsidRPr="00E81E62">
      <w:t>CONDITIONS</w:t>
    </w:r>
    <w:r w:rsidR="00E81E62">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30B1B"/>
    <w:multiLevelType w:val="multilevel"/>
    <w:tmpl w:val="60E82A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1A94AB7"/>
    <w:multiLevelType w:val="multilevel"/>
    <w:tmpl w:val="473A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3EA6249"/>
    <w:multiLevelType w:val="multilevel"/>
    <w:tmpl w:val="C0F4C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454D8"/>
    <w:multiLevelType w:val="multilevel"/>
    <w:tmpl w:val="439C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39753DE"/>
    <w:multiLevelType w:val="multilevel"/>
    <w:tmpl w:val="5FC8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C984A16"/>
    <w:multiLevelType w:val="multilevel"/>
    <w:tmpl w:val="BF8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6660996"/>
    <w:multiLevelType w:val="multilevel"/>
    <w:tmpl w:val="CCC4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2"/>
    <w:lvlOverride w:ilvl="0">
      <w:startOverride w:val="1"/>
    </w:lvlOverride>
  </w:num>
  <w:num w:numId="5">
    <w:abstractNumId w:val="0"/>
    <w:lvlOverride w:ilvl="0">
      <w:startOverride w:val="1"/>
    </w:lvlOverride>
  </w:num>
  <w:num w:numId="6">
    <w:abstractNumId w:val="6"/>
    <w:lvlOverride w:ilvl="0">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A92"/>
    <w:rsid w:val="001D105B"/>
    <w:rsid w:val="001F3496"/>
    <w:rsid w:val="002E0A92"/>
    <w:rsid w:val="00315085"/>
    <w:rsid w:val="00543B22"/>
    <w:rsid w:val="005C2F4A"/>
    <w:rsid w:val="00601CA0"/>
    <w:rsid w:val="007D14BA"/>
    <w:rsid w:val="009C2294"/>
    <w:rsid w:val="00BF2C09"/>
    <w:rsid w:val="00D43569"/>
    <w:rsid w:val="00E81E62"/>
    <w:rsid w:val="00F75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0A9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31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085"/>
  </w:style>
  <w:style w:type="paragraph" w:styleId="Footer">
    <w:name w:val="footer"/>
    <w:basedOn w:val="Normal"/>
    <w:link w:val="FooterChar"/>
    <w:uiPriority w:val="99"/>
    <w:unhideWhenUsed/>
    <w:rsid w:val="00E8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0A9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31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085"/>
  </w:style>
  <w:style w:type="paragraph" w:styleId="Footer">
    <w:name w:val="footer"/>
    <w:basedOn w:val="Normal"/>
    <w:link w:val="FooterChar"/>
    <w:uiPriority w:val="99"/>
    <w:unhideWhenUsed/>
    <w:rsid w:val="00E8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315832">
      <w:bodyDiv w:val="1"/>
      <w:marLeft w:val="0"/>
      <w:marRight w:val="0"/>
      <w:marTop w:val="0"/>
      <w:marBottom w:val="0"/>
      <w:divBdr>
        <w:top w:val="none" w:sz="0" w:space="0" w:color="auto"/>
        <w:left w:val="none" w:sz="0" w:space="0" w:color="auto"/>
        <w:bottom w:val="none" w:sz="0" w:space="0" w:color="auto"/>
        <w:right w:val="none" w:sz="0" w:space="0" w:color="auto"/>
      </w:divBdr>
      <w:divsChild>
        <w:div w:id="1467041994">
          <w:marLeft w:val="0"/>
          <w:marRight w:val="0"/>
          <w:marTop w:val="0"/>
          <w:marBottom w:val="0"/>
          <w:divBdr>
            <w:top w:val="none" w:sz="0" w:space="0" w:color="auto"/>
            <w:left w:val="none" w:sz="0" w:space="0" w:color="auto"/>
            <w:bottom w:val="none" w:sz="0" w:space="0" w:color="auto"/>
            <w:right w:val="none" w:sz="0" w:space="0" w:color="auto"/>
          </w:divBdr>
        </w:div>
      </w:divsChild>
    </w:div>
    <w:div w:id="707340060">
      <w:bodyDiv w:val="1"/>
      <w:marLeft w:val="0"/>
      <w:marRight w:val="0"/>
      <w:marTop w:val="0"/>
      <w:marBottom w:val="0"/>
      <w:divBdr>
        <w:top w:val="none" w:sz="0" w:space="0" w:color="auto"/>
        <w:left w:val="none" w:sz="0" w:space="0" w:color="auto"/>
        <w:bottom w:val="none" w:sz="0" w:space="0" w:color="auto"/>
        <w:right w:val="none" w:sz="0" w:space="0" w:color="auto"/>
      </w:divBdr>
      <w:divsChild>
        <w:div w:id="143131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Nderi</cp:lastModifiedBy>
  <cp:revision>2</cp:revision>
  <dcterms:created xsi:type="dcterms:W3CDTF">2017-10-19T17:58:00Z</dcterms:created>
  <dcterms:modified xsi:type="dcterms:W3CDTF">2017-10-19T17:58:00Z</dcterms:modified>
</cp:coreProperties>
</file>